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eastAsia="zh-CN"/>
        </w:rPr>
        <w:t>2025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hint="eastAsia" w:cs="宋体"/>
          <w:b/>
          <w:bCs/>
          <w:spacing w:val="-3"/>
          <w:sz w:val="28"/>
          <w:szCs w:val="28"/>
          <w:lang w:val="en-US" w:eastAsia="zh-CN"/>
        </w:rPr>
        <w:t>血清降钙素原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5868B093">
      <w:pPr>
        <w:pStyle w:val="2"/>
        <w:numPr>
          <w:ilvl w:val="0"/>
          <w:numId w:val="0"/>
        </w:numPr>
        <w:spacing w:before="20" w:line="217" w:lineRule="auto"/>
        <w:ind w:firstLine="220" w:firstLineChars="100"/>
        <w:outlineLvl w:val="1"/>
        <w:rPr>
          <w:rFonts w:hint="eastAsia"/>
          <w:b w:val="0"/>
          <w:bCs w:val="0"/>
          <w:spacing w:val="-4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pacing w:val="5"/>
          <w:sz w:val="21"/>
          <w:szCs w:val="21"/>
          <w:lang w:eastAsia="zh-CN"/>
        </w:rPr>
        <w:t>2025</w:t>
      </w:r>
      <w:r>
        <w:rPr>
          <w:rFonts w:hint="eastAsia" w:ascii="Times New Roman" w:hAnsi="Times New Roman" w:eastAsia="Times New Roman" w:cs="Times New Roman"/>
          <w:spacing w:val="5"/>
          <w:sz w:val="21"/>
          <w:szCs w:val="21"/>
        </w:rPr>
        <w:t xml:space="preserve"> 年血清降钙素原室间质量评价将进行 1 次活动（共 5 个批号样品）。评价项目为降钙素原（PCT），单位 μg/L（即 mg/ml）。</w:t>
      </w:r>
    </w:p>
    <w:tbl>
      <w:tblPr>
        <w:tblStyle w:val="8"/>
        <w:tblW w:w="85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3826"/>
        <w:gridCol w:w="1133"/>
        <w:gridCol w:w="1274"/>
        <w:gridCol w:w="1164"/>
      </w:tblGrid>
      <w:tr w14:paraId="68567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165" w:type="dxa"/>
            <w:vAlign w:val="top"/>
          </w:tcPr>
          <w:p w14:paraId="6CE6701E">
            <w:pPr>
              <w:spacing w:line="310" w:lineRule="auto"/>
              <w:rPr>
                <w:rFonts w:ascii="Arial"/>
                <w:sz w:val="21"/>
              </w:rPr>
            </w:pPr>
          </w:p>
          <w:p w14:paraId="44BDA37F">
            <w:pPr>
              <w:pStyle w:val="9"/>
              <w:spacing w:before="59" w:line="220" w:lineRule="auto"/>
              <w:ind w:left="228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3826" w:type="dxa"/>
            <w:vAlign w:val="top"/>
          </w:tcPr>
          <w:p w14:paraId="1B76A281">
            <w:pPr>
              <w:spacing w:line="310" w:lineRule="auto"/>
              <w:rPr>
                <w:rFonts w:ascii="Arial"/>
                <w:sz w:val="21"/>
              </w:rPr>
            </w:pPr>
          </w:p>
          <w:p w14:paraId="05D7DB1D">
            <w:pPr>
              <w:pStyle w:val="9"/>
              <w:spacing w:before="58" w:line="222" w:lineRule="auto"/>
              <w:ind w:left="1735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133" w:type="dxa"/>
            <w:vAlign w:val="top"/>
          </w:tcPr>
          <w:p w14:paraId="562C5175">
            <w:pPr>
              <w:pStyle w:val="9"/>
              <w:spacing w:before="171" w:line="320" w:lineRule="auto"/>
              <w:ind w:left="212" w:right="200" w:hanging="1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样品建议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274" w:type="dxa"/>
            <w:vAlign w:val="top"/>
          </w:tcPr>
          <w:p w14:paraId="60CC4A3A">
            <w:pPr>
              <w:pStyle w:val="9"/>
              <w:spacing w:before="171" w:line="320" w:lineRule="auto"/>
              <w:ind w:left="280" w:right="272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164" w:type="dxa"/>
            <w:vAlign w:val="top"/>
          </w:tcPr>
          <w:p w14:paraId="2175A123">
            <w:pPr>
              <w:pStyle w:val="9"/>
              <w:spacing w:before="171" w:line="320" w:lineRule="auto"/>
              <w:ind w:left="231" w:right="216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5"/>
                <w:sz w:val="18"/>
                <w:szCs w:val="18"/>
              </w:rPr>
              <w:t>下发日期</w:t>
            </w:r>
          </w:p>
        </w:tc>
      </w:tr>
      <w:tr w14:paraId="44331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165" w:type="dxa"/>
            <w:vAlign w:val="top"/>
          </w:tcPr>
          <w:p w14:paraId="364D0B69">
            <w:pPr>
              <w:pStyle w:val="9"/>
              <w:spacing w:before="169" w:line="220" w:lineRule="auto"/>
              <w:ind w:left="225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3826" w:type="dxa"/>
            <w:vAlign w:val="top"/>
          </w:tcPr>
          <w:p w14:paraId="6C638495">
            <w:pPr>
              <w:pStyle w:val="9"/>
              <w:spacing w:before="200" w:line="184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</w:t>
            </w:r>
          </w:p>
        </w:tc>
        <w:tc>
          <w:tcPr>
            <w:tcW w:w="1133" w:type="dxa"/>
            <w:vAlign w:val="top"/>
          </w:tcPr>
          <w:p w14:paraId="793E8F76">
            <w:pPr>
              <w:pStyle w:val="9"/>
              <w:spacing w:before="169" w:line="220" w:lineRule="auto"/>
              <w:ind w:left="207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18"/>
                <w:szCs w:val="18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spacing w:val="-9"/>
                <w:sz w:val="18"/>
                <w:szCs w:val="18"/>
              </w:rPr>
              <w:t>月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18"/>
                <w:szCs w:val="18"/>
              </w:rPr>
              <w:t xml:space="preserve">1  </w:t>
            </w:r>
            <w:r>
              <w:rPr>
                <w:spacing w:val="-9"/>
                <w:sz w:val="18"/>
                <w:szCs w:val="18"/>
              </w:rPr>
              <w:t>日</w:t>
            </w:r>
          </w:p>
        </w:tc>
        <w:tc>
          <w:tcPr>
            <w:tcW w:w="1274" w:type="dxa"/>
            <w:vAlign w:val="top"/>
          </w:tcPr>
          <w:p w14:paraId="4B2B32FF">
            <w:pPr>
              <w:pStyle w:val="9"/>
              <w:spacing w:before="169" w:line="220" w:lineRule="auto"/>
              <w:ind w:left="233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月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日</w:t>
            </w:r>
          </w:p>
        </w:tc>
        <w:tc>
          <w:tcPr>
            <w:tcW w:w="1164" w:type="dxa"/>
            <w:vAlign w:val="top"/>
          </w:tcPr>
          <w:p w14:paraId="4BA4197E">
            <w:pPr>
              <w:pStyle w:val="9"/>
              <w:spacing w:before="169" w:line="220" w:lineRule="auto"/>
              <w:ind w:left="176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10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25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3FBB099E">
      <w:pPr>
        <w:spacing w:before="151" w:line="226" w:lineRule="auto"/>
        <w:rPr>
          <w:rFonts w:ascii="宋体" w:hAnsi="宋体" w:eastAsia="宋体" w:cs="宋体"/>
          <w:sz w:val="21"/>
          <w:szCs w:val="21"/>
        </w:rPr>
      </w:pPr>
      <w:r>
        <w:rPr>
          <w:b/>
          <w:bCs/>
          <w:spacing w:val="2"/>
        </w:rPr>
        <w:t>二、样品保存：</w:t>
      </w:r>
      <w:r>
        <w:rPr>
          <w:rFonts w:ascii="Times New Roman" w:hAnsi="Times New Roman" w:eastAsia="Times New Roman" w:cs="Times New Roman"/>
          <w:b/>
          <w:bCs/>
          <w:spacing w:val="5"/>
          <w:sz w:val="21"/>
          <w:szCs w:val="21"/>
        </w:rPr>
        <w:t>2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℃</w:t>
      </w:r>
      <w:r>
        <w:rPr>
          <w:rFonts w:ascii="Times New Roman" w:hAnsi="Times New Roman" w:eastAsia="Times New Roman" w:cs="Times New Roman"/>
          <w:b/>
          <w:bCs/>
          <w:spacing w:val="5"/>
          <w:sz w:val="21"/>
          <w:szCs w:val="21"/>
        </w:rPr>
        <w:t>~8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℃</w:t>
      </w:r>
      <w:r>
        <w:rPr>
          <w:rFonts w:ascii="宋体" w:hAnsi="宋体" w:eastAsia="宋体" w:cs="宋体"/>
          <w:spacing w:val="-75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,</w:t>
      </w:r>
      <w:r>
        <w:rPr>
          <w:rFonts w:ascii="宋体" w:hAnsi="宋体" w:eastAsia="宋体" w:cs="宋体"/>
          <w:spacing w:val="5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1"/>
          <w:szCs w:val="21"/>
        </w:rPr>
        <w:t>避光。</w:t>
      </w:r>
      <w:r>
        <w:rPr>
          <w:rFonts w:ascii="宋体" w:hAnsi="宋体" w:eastAsia="宋体" w:cs="宋体"/>
          <w:spacing w:val="5"/>
          <w:sz w:val="21"/>
          <w:szCs w:val="21"/>
        </w:rPr>
        <w:t>未复溶质评样品，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2</w:t>
      </w:r>
      <w:r>
        <w:rPr>
          <w:rFonts w:ascii="宋体" w:hAnsi="宋体" w:eastAsia="宋体" w:cs="宋体"/>
          <w:spacing w:val="5"/>
          <w:sz w:val="21"/>
          <w:szCs w:val="21"/>
        </w:rPr>
        <w:t>℃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~8</w:t>
      </w:r>
      <w:r>
        <w:rPr>
          <w:rFonts w:ascii="宋体" w:hAnsi="宋体" w:eastAsia="宋体" w:cs="宋体"/>
          <w:spacing w:val="5"/>
          <w:sz w:val="21"/>
          <w:szCs w:val="21"/>
        </w:rPr>
        <w:t>℃密封保存</w:t>
      </w:r>
      <w:r>
        <w:rPr>
          <w:rFonts w:ascii="宋体" w:hAnsi="宋体" w:eastAsia="宋体" w:cs="宋体"/>
          <w:spacing w:val="4"/>
          <w:sz w:val="21"/>
          <w:szCs w:val="21"/>
        </w:rPr>
        <w:t>，有效期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12 </w:t>
      </w:r>
      <w:r>
        <w:rPr>
          <w:rFonts w:ascii="宋体" w:hAnsi="宋体" w:eastAsia="宋体" w:cs="宋体"/>
          <w:spacing w:val="4"/>
          <w:sz w:val="21"/>
          <w:szCs w:val="21"/>
        </w:rPr>
        <w:t>个月。</w:t>
      </w:r>
    </w:p>
    <w:p w14:paraId="53EE509B">
      <w:pPr>
        <w:pStyle w:val="2"/>
        <w:spacing w:before="41" w:line="232" w:lineRule="auto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642D504E">
      <w:pPr>
        <w:spacing w:before="3" w:line="359" w:lineRule="auto"/>
        <w:ind w:left="147" w:right="133" w:firstLine="207"/>
        <w:jc w:val="both"/>
        <w:rPr>
          <w:sz w:val="21"/>
          <w:szCs w:val="21"/>
        </w:rPr>
      </w:pPr>
      <w:r>
        <w:rPr>
          <w:rFonts w:hint="eastAsia" w:ascii="Times New Roman" w:hAnsi="Times New Roman" w:eastAsia="Times New Roman" w:cs="Times New Roman"/>
          <w:spacing w:val="-1"/>
          <w:sz w:val="21"/>
          <w:szCs w:val="21"/>
        </w:rPr>
        <w:t>本次能力验证使用的质评</w:t>
      </w:r>
      <w:r>
        <w:rPr>
          <w:rFonts w:ascii="宋体" w:hAnsi="宋体" w:eastAsia="宋体" w:cs="宋体"/>
          <w:spacing w:val="10"/>
          <w:sz w:val="21"/>
          <w:szCs w:val="21"/>
        </w:rPr>
        <w:t>样本为</w:t>
      </w:r>
      <w:r>
        <w:rPr>
          <w:rFonts w:hint="eastAsia" w:ascii="宋体" w:hAnsi="宋体" w:eastAsia="宋体" w:cs="宋体"/>
          <w:spacing w:val="10"/>
          <w:sz w:val="21"/>
          <w:szCs w:val="21"/>
          <w:lang w:val="en-US" w:eastAsia="zh-CN"/>
        </w:rPr>
        <w:t>冻干粉</w:t>
      </w:r>
      <w:r>
        <w:rPr>
          <w:rFonts w:hint="eastAsia" w:ascii="Times New Roman" w:hAnsi="Times New Roman" w:eastAsia="Times New Roman" w:cs="Times New Roman"/>
          <w:spacing w:val="-1"/>
          <w:sz w:val="21"/>
          <w:szCs w:val="21"/>
        </w:rPr>
        <w:t>。为了避免污染，破损等意外造成的生物安全问题，采用三层包装。</w:t>
      </w:r>
      <w:r>
        <w:rPr>
          <w:rFonts w:ascii="宋体" w:hAnsi="宋体" w:eastAsia="宋体" w:cs="宋体"/>
          <w:spacing w:val="9"/>
          <w:sz w:val="21"/>
          <w:szCs w:val="21"/>
        </w:rPr>
        <w:t>测定前将样品从冰箱取出，室温放置约</w:t>
      </w:r>
      <w:r>
        <w:rPr>
          <w:rFonts w:ascii="宋体" w:hAnsi="宋体" w:eastAsia="宋体" w:cs="宋体"/>
          <w:spacing w:val="-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30 </w:t>
      </w:r>
      <w:r>
        <w:rPr>
          <w:rFonts w:ascii="宋体" w:hAnsi="宋体" w:eastAsia="宋体" w:cs="宋体"/>
          <w:spacing w:val="9"/>
          <w:sz w:val="21"/>
          <w:szCs w:val="21"/>
        </w:rPr>
        <w:t>分钟，准确</w:t>
      </w:r>
      <w:r>
        <w:rPr>
          <w:rFonts w:ascii="宋体" w:hAnsi="宋体" w:eastAsia="宋体" w:cs="宋体"/>
          <w:spacing w:val="8"/>
          <w:sz w:val="21"/>
          <w:szCs w:val="21"/>
        </w:rPr>
        <w:t>加入</w:t>
      </w:r>
      <w:r>
        <w:rPr>
          <w:rFonts w:ascii="宋体" w:hAnsi="宋体" w:eastAsia="宋体" w:cs="宋体"/>
          <w:spacing w:val="-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1.0</w:t>
      </w:r>
      <w:r>
        <w:rPr>
          <w:rFonts w:ascii="Times New Roman" w:hAnsi="Times New Roman" w:eastAsia="Times New Roman" w:cs="Times New Roman"/>
          <w:sz w:val="21"/>
          <w:szCs w:val="21"/>
        </w:rPr>
        <w:t>ml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8"/>
          <w:sz w:val="21"/>
          <w:szCs w:val="21"/>
        </w:rPr>
        <w:t>去</w:t>
      </w:r>
      <w:r>
        <w:rPr>
          <w:rFonts w:ascii="宋体" w:hAnsi="宋体" w:eastAsia="宋体" w:cs="宋体"/>
          <w:spacing w:val="7"/>
          <w:sz w:val="21"/>
          <w:szCs w:val="21"/>
        </w:rPr>
        <w:t>离子水或蒸馏水，使质控品充分复溶，然后轻轻混匀后进行测定。复溶后样品加盖密闭置室</w:t>
      </w:r>
      <w:bookmarkStart w:id="0" w:name="_GoBack"/>
      <w:bookmarkEnd w:id="0"/>
      <w:r>
        <w:rPr>
          <w:rFonts w:ascii="宋体" w:hAnsi="宋体" w:eastAsia="宋体" w:cs="宋体"/>
          <w:spacing w:val="4"/>
          <w:sz w:val="21"/>
          <w:szCs w:val="21"/>
        </w:rPr>
        <w:t>温可稳定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</w:rPr>
        <w:t>小时</w:t>
      </w:r>
      <w:r>
        <w:rPr>
          <w:rFonts w:hint="eastAsia" w:ascii="宋体" w:hAnsi="宋体" w:eastAsia="宋体" w:cs="宋体"/>
          <w:spacing w:val="4"/>
          <w:sz w:val="21"/>
          <w:szCs w:val="21"/>
          <w:lang w:eastAsia="zh-CN"/>
        </w:rPr>
        <w:t>。</w:t>
      </w:r>
      <w:r>
        <w:rPr>
          <w:b/>
          <w:bCs/>
          <w:spacing w:val="-3"/>
          <w:sz w:val="21"/>
          <w:szCs w:val="21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172A27"/>
    <w:rsid w:val="05FE61C4"/>
    <w:rsid w:val="0677143E"/>
    <w:rsid w:val="08530649"/>
    <w:rsid w:val="0CA42D4A"/>
    <w:rsid w:val="0F4C5227"/>
    <w:rsid w:val="11E0206F"/>
    <w:rsid w:val="1ADD33F4"/>
    <w:rsid w:val="27904C36"/>
    <w:rsid w:val="2BDD16A1"/>
    <w:rsid w:val="2C0357DF"/>
    <w:rsid w:val="33E505BB"/>
    <w:rsid w:val="36300FF3"/>
    <w:rsid w:val="38654929"/>
    <w:rsid w:val="3B9D74DC"/>
    <w:rsid w:val="3E530CCE"/>
    <w:rsid w:val="4271078E"/>
    <w:rsid w:val="486B11B0"/>
    <w:rsid w:val="65AB7919"/>
    <w:rsid w:val="6DE34CF5"/>
    <w:rsid w:val="70F33FDC"/>
    <w:rsid w:val="7CB81F63"/>
    <w:rsid w:val="7EC70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602</Words>
  <Characters>695</Characters>
  <TotalTime>1</TotalTime>
  <ScaleCrop>false</ScaleCrop>
  <LinksUpToDate>false</LinksUpToDate>
  <CharactersWithSpaces>746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2025-05-19T01:18:18Z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BB44D2E371F04C03AE47B6508E283DD2_13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